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Yang Jianyu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Concord Medical Services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SEE REMARKS</w:t>
            </w:r>
          </w:p>
        </w:tc>
        <w:tc>
          <w:tcPr>
            <w:tcW w:w="1300" w:type="dxa"/>
            <w:vAlign w:val="bottom"/>
          </w:tcPr>
          <w:p>
            <w:pPr>
              <w:spacing w:after="0"/>
              <w:rPr>
                <w:sz w:val="24"/>
                <w:szCs w:val="24"/>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w:t>
            </w:r>
          </w:p>
        </w:tc>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F4</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100020</w:t>
            </w:r>
          </w:p>
        </w:tc>
      </w:tr>
      <w:tr>
        <w:trPr>
          <w:trHeight w:val="177"/>
        </w:trPr>
        <w:tc>
          <w:tcPr>
            <w:tcW w:w="9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20" w:type="dxa"/>
            <w:vAlign w:val="bottom"/>
          </w:tcPr>
          <w:p>
            <w:pPr>
              <w:ind w:left="40"/>
              <w:spacing w:after="0"/>
              <w:rPr>
                <w:sz w:val="20"/>
                <w:szCs w:val="20"/>
                <w:color w:val="auto"/>
              </w:rPr>
            </w:pPr>
            <w:r>
              <w:rPr>
                <w:rFonts w:ascii="Arial" w:cs="Arial" w:eastAsia="Arial" w:hAnsi="Arial"/>
                <w:sz w:val="15"/>
                <w:szCs w:val="15"/>
                <w:color w:val="auto"/>
              </w:rPr>
              <w:t>(City)</w:t>
            </w:r>
          </w:p>
        </w:tc>
        <w:tc>
          <w:tcPr>
            <w:tcW w:w="880" w:type="dxa"/>
            <w:vAlign w:val="bottom"/>
          </w:tcPr>
          <w:p>
            <w:pPr>
              <w:ind w:left="1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gridSpan w:val="2"/>
          </w:tcPr>
          <w:p>
            <w:pPr>
              <w:ind w:left="180"/>
              <w:spacing w:after="0"/>
              <w:rPr>
                <w:sz w:val="20"/>
                <w:szCs w:val="20"/>
                <w:color w:val="auto"/>
              </w:rPr>
            </w:pPr>
            <w:r>
              <w:rPr>
                <w:rFonts w:ascii="Arial" w:cs="Arial" w:eastAsia="Arial" w:hAnsi="Arial"/>
                <w:sz w:val="15"/>
                <w:szCs w:val="15"/>
                <w:b w:val="1"/>
                <w:bCs w:val="1"/>
                <w:color w:val="auto"/>
              </w:rPr>
              <w:t>2. Amount of Securities</w:t>
            </w:r>
          </w:p>
        </w:tc>
        <w:tc>
          <w:tcPr>
            <w:tcW w:w="132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2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4"/>
                <w:szCs w:val="14"/>
                <w:color w:val="auto"/>
              </w:rPr>
            </w:pPr>
          </w:p>
        </w:tc>
        <w:tc>
          <w:tcPr>
            <w:tcW w:w="132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0000FF"/>
              </w:rPr>
              <w:t>466,097</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gridSpan w:val="2"/>
            <w:vMerge w:val="restart"/>
          </w:tcPr>
          <w:p>
            <w:pPr>
              <w:jc w:val="right"/>
              <w:ind w:right="565"/>
              <w:spacing w:after="0"/>
              <w:rPr>
                <w:sz w:val="20"/>
                <w:szCs w:val="20"/>
                <w:color w:val="auto"/>
              </w:rPr>
            </w:pPr>
            <w:r>
              <w:rPr>
                <w:rFonts w:ascii="Times New Roman" w:cs="Times New Roman" w:eastAsia="Times New Roman" w:hAnsi="Times New Roman"/>
                <w:sz w:val="16"/>
                <w:szCs w:val="16"/>
                <w:color w:val="0000FF"/>
                <w:w w:val="74"/>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Morgancreek Investment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Holding Limited</w:t>
            </w:r>
            <w:r>
              <w:rPr>
                <w:rFonts w:ascii="Times New Roman" w:cs="Times New Roman" w:eastAsia="Times New Roman" w:hAnsi="Times New Roman"/>
                <w:sz w:val="25"/>
                <w:szCs w:val="25"/>
                <w:color w:val="008000"/>
                <w:vertAlign w:val="superscript"/>
              </w:rPr>
              <w:t>(1)(4)</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20" w:type="dxa"/>
            <w:vAlign w:val="bottom"/>
            <w:tcBorders>
              <w:top w:val="single" w:sz="8" w:color="2C2C2C"/>
            </w:tcBorders>
            <w:gridSpan w:val="7"/>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400" w:type="dxa"/>
            <w:vAlign w:val="bottom"/>
            <w:gridSpan w:val="8"/>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6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Morgancreek</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6"/>
              </w:rPr>
              <w:t>Class B ordinary shares, par value</w:t>
            </w:r>
          </w:p>
        </w:tc>
        <w:tc>
          <w:tcPr>
            <w:tcW w:w="10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(3)</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shares, par value</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w w:val="97"/>
              </w:rPr>
              <w:t>38,287,948</w:t>
            </w: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color w:val="008000"/>
              </w:rPr>
              <w:t>(3)</w:t>
            </w:r>
          </w:p>
        </w:tc>
        <w:tc>
          <w:tcPr>
            <w:tcW w:w="340" w:type="dxa"/>
            <w:vAlign w:val="bottom"/>
          </w:tcPr>
          <w:p>
            <w:pPr>
              <w:spacing w:after="0"/>
              <w:rPr>
                <w:sz w:val="20"/>
                <w:szCs w:val="2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Investment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US$0.0001 per share</w:t>
            </w:r>
          </w:p>
        </w:tc>
        <w:tc>
          <w:tcPr>
            <w:tcW w:w="10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US$0.0001 per</w:t>
            </w:r>
          </w:p>
        </w:tc>
        <w:tc>
          <w:tcPr>
            <w:tcW w:w="10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share</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Represented 466,097 American depositary shares ("ADSs"), each representing 30 Class A ordinary shares, par value US$0.0001 per share, of the Issuer (the "Class A Ordinary Shares") held by Morgancreek Investment Holding Limited ("Morgancreek"), a limited liability company organized under the laws of the British Virgin Islands.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Represented 38,287,948 Class B ordinary shares, par value US$0.0001 per share, of the Issuer ("Class B Ordinary Shares), held by Morgancreek.</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Ordinary Shares are convertible at any time at the option of the holder into an equal number of Class A Ordinary Shares at no cost.</w:t>
      </w:r>
    </w:p>
    <w:p>
      <w:pPr>
        <w:spacing w:after="0" w:line="52" w:lineRule="exact"/>
        <w:rPr>
          <w:rFonts w:ascii="Times New Roman" w:cs="Times New Roman" w:eastAsia="Times New Roman" w:hAnsi="Times New Roman"/>
          <w:sz w:val="15"/>
          <w:szCs w:val="15"/>
          <w:color w:val="008000"/>
        </w:rPr>
      </w:pPr>
    </w:p>
    <w:p>
      <w:pPr>
        <w:ind w:left="40" w:right="1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the sole director of Morgancreek and the Reporting Person's spouse indirectly holds 70% of the equity interests in Morgancreek. As such the Reporting Person has the power to direct Morgancreek as to the voting and disposition of the Class B Ordinary Shares and the ADSs held by Morgancreek. The Reporting Person may be deemed the beneficial owner of all the Class B Ordinary Shares and ADSs representing Class A Ordinary Shares held by Morgancreek.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full street address is Room A1-A5 26/F, East Zone, Hanwei Plaza, No. 7 Guanghua Road, Chaoyang District.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Jianyu Yang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Concord Medical Services Holdings Limited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undersigned hereby constitutes and appoints the Chief Financial Officer of the Company, who is currently Wei Jiang, and his respective successors, as may be amended from time to time, signing singly, with full power of substitution and resubstitution, to act as the undersigned’s true and lawful attorney-in-fact to:</w:t>
      </w:r>
    </w:p>
    <w:p>
      <w:pPr>
        <w:spacing w:after="0" w:line="200" w:lineRule="exact"/>
        <w:rPr>
          <w:sz w:val="20"/>
          <w:szCs w:val="20"/>
          <w:color w:val="auto"/>
        </w:rPr>
      </w:pPr>
    </w:p>
    <w:p>
      <w:pPr>
        <w:ind w:left="1260" w:hanging="540"/>
        <w:spacing w:after="0" w:line="282"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(including amendments thereto) in accordance with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w:t>
      </w:r>
    </w:p>
    <w:p>
      <w:pPr>
        <w:spacing w:after="0" w:line="179" w:lineRule="exact"/>
        <w:rPr>
          <w:rFonts w:ascii="Times New Roman" w:cs="Times New Roman" w:eastAsia="Times New Roman" w:hAnsi="Times New Roman"/>
          <w:sz w:val="20"/>
          <w:szCs w:val="20"/>
          <w:color w:val="auto"/>
        </w:rPr>
      </w:pPr>
    </w:p>
    <w:p>
      <w:pPr>
        <w:jc w:val="both"/>
        <w:ind w:left="1260" w:hanging="540"/>
        <w:spacing w:after="0" w:line="261" w:lineRule="auto"/>
        <w:tabs>
          <w:tab w:leader="none" w:pos="12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or 5, complete and execute any amendment or amendments thereto, and timely file such forms (including amendments thereto) with the United States Securities and Exchange Commission and any stock exchange or similar authority.</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6"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Jianyu Yang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20"/>
      </w:cols>
      <w:pgMar w:left="480" w:top="9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9873" TargetMode="External"/><Relationship Id="rId11" Type="http://schemas.openxmlformats.org/officeDocument/2006/relationships/hyperlink" Target="http://www.sec.gov/cgi-bin/browse-edgar?action=getcompany&amp;CIK=0001472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2026-03-18T09:53:02Z</dcterms:created>
  <dcterms:modified xsi:type="dcterms:W3CDTF">2026-03-18T09:53:02Z</dcterms:modified>
</cp:coreProperties>
</file>