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879d1_6k.htm"/>
      <w:bookmarkStart w:id="1" w:name="kstm2611879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RULE 13a-16 OR 15d-16 UNDER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001-34563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CONCORD MEDICAL SERVICES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A1-A5 26/F, East Zone, Hanwei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7 Guanghua Road, Chaoyang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rFonts w:ascii="Arial Unicode MS" w:hAnsi="Arial Unicode MS"/>
          <w:b w:val="false"/>
          <w:i w:val="false"/>
          <w:caps w:val="false"/>
          <w:smallCaps w:val="false"/>
          <w:sz w:val="20"/>
        </w:rPr>
      </w:pPr>
      <w:r>
        <w:rPr>
          <w:rFonts w:ascii="Times New Roman;Times;Serif" w:hAnsi="Times New Roman;Times;Serif"/>
          <w:b w:val="false"/>
          <w:i w:val="false"/>
          <w:caps w:val="false"/>
          <w:smallCaps w:val="false"/>
          <w:sz w:val="20"/>
        </w:rPr>
        <w:t xml:space="preserve">Form 20-F </w:t>
      </w:r>
      <w:r>
        <w:rPr>
          <w:rFonts w:ascii="Arial Unicode MS" w:hAnsi="Arial Unicode MS"/>
          <w:b w:val="false"/>
          <w:i w:val="false"/>
          <w:caps w:val="false"/>
          <w:smallCaps w:val="false"/>
          <w:sz w:val="20"/>
        </w:rPr>
        <w:t>☒           </w:t>
      </w:r>
      <w:r>
        <w:rPr>
          <w:rFonts w:ascii="Times New Roman;Times;Serif" w:hAnsi="Times New Roman;Times;Serif"/>
          <w:b w:val="false"/>
          <w:i w:val="false"/>
          <w:caps w:val="false"/>
          <w:smallCaps w:val="false"/>
          <w:sz w:val="20"/>
        </w:rPr>
        <w:t>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Concord Healthcare Files Annual Report on The Stock Exchange of Hong Kong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Concord Healthcare Group Co., Ltd. (“Concord Healthcare”), a subsidiary of Concord Medical Services Holdings Limited (the “Company”) (NYSE: CCM) and a company listed on the Main Board of The Stock Exchange of Hong Kong Limited (the “HKSE”) under the stock code 2453.HK, filed its annual report for the year ended December 31, 2025 on April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previously announced the listing of Concord Healthcare’s H shares on the HKSE on January 9, 2024. The information related to Concord Healthcare’s annual report on the HKSE is accessible through the HKSE’s website at </w:t>
      </w:r>
      <w:r>
        <w:rPr>
          <w:rFonts w:ascii="Times New Roman;Times;Serif" w:hAnsi="Times New Roman;Times;Serif"/>
          <w:b w:val="false"/>
          <w:i/>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89" w:type="dxa"/>
        <w:jc w:val="left"/>
        <w:tblInd w:w="0" w:type="dxa"/>
        <w:tblLayout w:type="fixed"/>
        <w:tblCellMar>
          <w:top w:w="0" w:type="dxa"/>
          <w:left w:w="0" w:type="dxa"/>
          <w:bottom w:w="0" w:type="dxa"/>
          <w:right w:w="0" w:type="dxa"/>
        </w:tblCellMar>
      </w:tblPr>
      <w:tblGrid>
        <w:gridCol w:w="75"/>
        <w:gridCol w:w="697"/>
        <w:gridCol w:w="4017"/>
      </w:tblGrid>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sz w:val="20"/>
              </w:rPr>
            </w:pPr>
            <w:r>
              <w:rPr>
                <w:sz w:val="20"/>
              </w:rPr>
              <w:t>CONCORD MEDICAL SERVICES HOLDINGS LIMITED</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40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sz w:val="20"/>
              </w:rPr>
            </w:pPr>
            <w:r>
              <w:rPr>
                <w:sz w:val="20"/>
              </w:rPr>
              <w:t>By:</w:t>
            </w:r>
          </w:p>
        </w:tc>
        <w:tc>
          <w:tcPr>
            <w:tcW w:w="401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Jianyu Yang</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sz w:val="20"/>
              </w:rPr>
            </w:pPr>
            <w:r>
              <w:rPr>
                <w:sz w:val="20"/>
              </w:rPr>
              <w:t>Name:</w:t>
            </w:r>
          </w:p>
        </w:tc>
        <w:tc>
          <w:tcPr>
            <w:tcW w:w="4017" w:type="dxa"/>
            <w:tcBorders/>
            <w:vAlign w:val="center"/>
          </w:tcPr>
          <w:p>
            <w:pPr>
              <w:pStyle w:val="TableContents"/>
              <w:bidi w:val="0"/>
              <w:spacing w:before="0" w:after="283"/>
              <w:jc w:val="left"/>
              <w:rPr>
                <w:sz w:val="20"/>
              </w:rPr>
            </w:pPr>
            <w:r>
              <w:rPr>
                <w:sz w:val="20"/>
              </w:rPr>
              <w:t>Jianyu Yang</w:t>
            </w:r>
          </w:p>
        </w:tc>
      </w:tr>
      <w:tr>
        <w:trPr/>
        <w:tc>
          <w:tcPr>
            <w:tcW w:w="7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sz w:val="20"/>
              </w:rPr>
            </w:pPr>
            <w:r>
              <w:rPr>
                <w:sz w:val="20"/>
              </w:rPr>
              <w:t>Title:</w:t>
            </w:r>
          </w:p>
        </w:tc>
        <w:tc>
          <w:tcPr>
            <w:tcW w:w="4017" w:type="dxa"/>
            <w:tcBorders/>
            <w:vAlign w:val="center"/>
          </w:tcPr>
          <w:p>
            <w:pPr>
              <w:pStyle w:val="TableContents"/>
              <w:bidi w:val="0"/>
              <w:spacing w:before="0" w:after="283"/>
              <w:jc w:val="left"/>
              <w:rPr>
                <w:sz w:val="20"/>
              </w:rPr>
            </w:pPr>
            <w:r>
              <w:rPr>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15,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255</Words>
  <Characters>1363</Characters>
  <CharactersWithSpaces>1640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